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57" w:rsidRDefault="00BB51B0" w:rsidP="00241C57">
      <w:pPr>
        <w:pStyle w:val="BasicParagraph"/>
        <w:jc w:val="center"/>
        <w:rPr>
          <w:rFonts w:ascii="Lato" w:hAnsi="Lato" w:cs="Lato"/>
          <w:b/>
          <w:bCs/>
          <w:color w:val="194CE5"/>
          <w:sz w:val="40"/>
          <w:szCs w:val="40"/>
        </w:rPr>
      </w:pPr>
      <w:r>
        <w:rPr>
          <w:rFonts w:ascii="Lato" w:hAnsi="Lato" w:cs="Lato"/>
          <w:b/>
          <w:bCs/>
          <w:noProof/>
          <w:color w:val="194CE5"/>
          <w:sz w:val="40"/>
          <w:szCs w:val="40"/>
          <w:lang w:val="pl-PL" w:eastAsia="pl-PL"/>
        </w:rPr>
        <w:drawing>
          <wp:inline distT="0" distB="0" distL="0" distR="0">
            <wp:extent cx="3676650" cy="92733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gre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487" cy="94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23" w:rsidRPr="00744604" w:rsidRDefault="007B4723" w:rsidP="00241C57">
      <w:pPr>
        <w:pStyle w:val="BasicParagraph"/>
        <w:jc w:val="center"/>
        <w:rPr>
          <w:rFonts w:ascii="Lato" w:hAnsi="Lato" w:cs="Lato"/>
          <w:b/>
          <w:bCs/>
          <w:color w:val="194CE5"/>
          <w:sz w:val="20"/>
          <w:szCs w:val="20"/>
        </w:rPr>
      </w:pPr>
    </w:p>
    <w:p w:rsidR="00BB51B0" w:rsidRPr="00BB51B0" w:rsidRDefault="00BB51B0" w:rsidP="00BB51B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Lato" w:hAnsi="Lato" w:cs="Lato"/>
          <w:b/>
          <w:bCs/>
          <w:color w:val="194CE5"/>
          <w:sz w:val="40"/>
          <w:szCs w:val="40"/>
          <w:lang w:val="en-US"/>
        </w:rPr>
      </w:pPr>
      <w:r w:rsidRPr="00BB51B0">
        <w:rPr>
          <w:rFonts w:ascii="Lato" w:hAnsi="Lato" w:cs="Lato"/>
          <w:b/>
          <w:bCs/>
          <w:color w:val="194CE5"/>
          <w:sz w:val="40"/>
          <w:szCs w:val="40"/>
          <w:lang w:val="en-US"/>
        </w:rPr>
        <w:t>KONGRES GOSPODARCZY</w:t>
      </w:r>
    </w:p>
    <w:p w:rsidR="00241C57" w:rsidRPr="00744604" w:rsidRDefault="00BB51B0" w:rsidP="00BB51B0">
      <w:pPr>
        <w:pStyle w:val="BasicParagraph"/>
        <w:jc w:val="center"/>
        <w:rPr>
          <w:rFonts w:ascii="Lato" w:hAnsi="Lato" w:cs="Lato"/>
          <w:b/>
          <w:bCs/>
          <w:sz w:val="20"/>
          <w:szCs w:val="20"/>
          <w:lang w:val="pl-PL"/>
        </w:rPr>
      </w:pPr>
      <w:r w:rsidRPr="00BB51B0">
        <w:rPr>
          <w:rFonts w:ascii="Lato" w:hAnsi="Lato" w:cs="Lato"/>
          <w:b/>
          <w:bCs/>
          <w:color w:val="194CE5"/>
          <w:sz w:val="40"/>
          <w:szCs w:val="40"/>
        </w:rPr>
        <w:t>EUROPY CENTRALNEJ I WSCHODNIEJ</w:t>
      </w:r>
    </w:p>
    <w:p w:rsidR="00BB51B0" w:rsidRDefault="00BB51B0" w:rsidP="00BB51B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</w:p>
    <w:p w:rsidR="00BB51B0" w:rsidRPr="00BB51B0" w:rsidRDefault="00BB51B0" w:rsidP="00BB51B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>29-31 maja na terenie Ptak Warsaw Expo w Nadarzynie koło Warszawy odbędzie się I</w:t>
      </w:r>
      <w:r w:rsidRPr="00BB51B0">
        <w:rPr>
          <w:rFonts w:ascii="Lato" w:hAnsi="Lato" w:cs="Lato"/>
          <w:b/>
          <w:bCs/>
          <w:color w:val="000000"/>
          <w:sz w:val="24"/>
          <w:szCs w:val="24"/>
        </w:rPr>
        <w:t>II edycja Kongresu Gospodarczego Europy Centralnej i Wschodniej</w:t>
      </w:r>
      <w:r w:rsidRPr="00BB51B0">
        <w:rPr>
          <w:rFonts w:ascii="Lato" w:hAnsi="Lato" w:cs="Lato"/>
          <w:color w:val="000000"/>
          <w:sz w:val="24"/>
          <w:szCs w:val="24"/>
        </w:rPr>
        <w:t>. Jest to jedyna tego typu inicjatywa, obejmująca zasięgiem Europę Centralną  i Wschodnią, Bliski Wschód oraz Chiny i gromadząca rekordową liczbę uczestników.</w:t>
      </w:r>
    </w:p>
    <w:p w:rsidR="00BB51B0" w:rsidRPr="00BB51B0" w:rsidRDefault="00BB51B0" w:rsidP="00BB51B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</w:p>
    <w:p w:rsidR="00BB51B0" w:rsidRPr="00BB51B0" w:rsidRDefault="00BB51B0" w:rsidP="00BB51B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>Podczas poprzednich edycji Kongresu gośćmi byli między innymi przedstawiciele izb gospodarczych oraz administracji publicznej z Białorusi, Bułgarii, Chorwacji, Czech, Estonii, Łotwy, Litwy, Mołdawii, Polski, Rosji, Słowacji, Słowenii, Ukrainy i Węgier.</w:t>
      </w:r>
    </w:p>
    <w:p w:rsidR="00BB51B0" w:rsidRPr="00BB51B0" w:rsidRDefault="00BB51B0" w:rsidP="00BB51B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</w:p>
    <w:p w:rsidR="00BB51B0" w:rsidRPr="00BB51B0" w:rsidRDefault="00BB51B0" w:rsidP="00BB51B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>Tak liczny udział samorządu gospodarczego, to dobra zapowiedź dla polskiej gospodarki, która staje się liderem w organizacji spotkań biznesowych przedsiębiorców Europy Centralnej i Wschodniej. Kongres to platforma gospodarcza dla polskich przedsiębiorców zainteresowanych współpracą z sąsiadami z zagranicy.</w:t>
      </w:r>
    </w:p>
    <w:p w:rsidR="00BB51B0" w:rsidRPr="00BB51B0" w:rsidRDefault="00BB51B0" w:rsidP="00BB51B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</w:p>
    <w:p w:rsidR="00BB51B0" w:rsidRPr="00BB51B0" w:rsidRDefault="00BB51B0" w:rsidP="00BB51B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>Kongres Gospodarczy Europy Centralnej i Wschodniej jest wydarzeniem  towarzyszącym targom Export Expo Poland i VIII edycji targów China Homelife Show i China Machinex, które są okazją do nawiązania współpracy gospodarczej pomiędzy Polską, Chinami oraz krajami Europy Centralnej i Wschodniej.</w:t>
      </w:r>
    </w:p>
    <w:p w:rsidR="00BB51B0" w:rsidRPr="00BB51B0" w:rsidRDefault="00BB51B0" w:rsidP="00BB51B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</w:p>
    <w:p w:rsidR="00BB51B0" w:rsidRPr="00BB51B0" w:rsidRDefault="00BB51B0" w:rsidP="00BB51B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>Do wzięcia udziału w tych inicjatywach zaproszono blisko 2000 przedstawicieli z krajów z Europy Centralnej i Wschodniej w ramach programu 16+1, oraz ok 3000 polskich przedsiębiorców.</w:t>
      </w:r>
    </w:p>
    <w:p w:rsidR="00BB51B0" w:rsidRPr="00BB51B0" w:rsidRDefault="00BB51B0" w:rsidP="00BB51B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</w:p>
    <w:p w:rsidR="00BB51B0" w:rsidRPr="00BB51B0" w:rsidRDefault="00BB51B0" w:rsidP="00BB51B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b/>
          <w:bCs/>
          <w:color w:val="000000"/>
          <w:sz w:val="24"/>
          <w:szCs w:val="24"/>
        </w:rPr>
        <w:t>Misją Kongresu jest:</w:t>
      </w:r>
    </w:p>
    <w:p w:rsidR="00BB51B0" w:rsidRPr="00BB51B0" w:rsidRDefault="00BB51B0" w:rsidP="00BB51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 xml:space="preserve">działanie na rzecz współpracy samorządu terytorialnego i samorządu gospodarczego, </w:t>
      </w:r>
    </w:p>
    <w:p w:rsidR="00BB51B0" w:rsidRPr="00BB51B0" w:rsidRDefault="00BB51B0" w:rsidP="00BB51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>lobbing na rzecz rozwoju wymiany gospodarczej prze</w:t>
      </w:r>
      <w:r>
        <w:rPr>
          <w:rFonts w:ascii="Lato" w:hAnsi="Lato" w:cs="Lato"/>
          <w:color w:val="000000"/>
          <w:sz w:val="24"/>
          <w:szCs w:val="24"/>
        </w:rPr>
        <w:t>dsiębiorców z Europy Centralnej</w:t>
      </w:r>
      <w:r>
        <w:rPr>
          <w:rFonts w:ascii="Lato" w:hAnsi="Lato" w:cs="Lato"/>
          <w:color w:val="000000"/>
          <w:sz w:val="24"/>
          <w:szCs w:val="24"/>
        </w:rPr>
        <w:br/>
      </w:r>
      <w:r w:rsidRPr="00BB51B0">
        <w:rPr>
          <w:rFonts w:ascii="Lato" w:hAnsi="Lato" w:cs="Lato"/>
          <w:color w:val="000000"/>
          <w:sz w:val="24"/>
          <w:szCs w:val="24"/>
        </w:rPr>
        <w:t>i Wschodniej, wraz z wszelkimi ułatwieniami związanymi z eksportem i importem,</w:t>
      </w:r>
    </w:p>
    <w:p w:rsidR="00BB51B0" w:rsidRPr="00BB51B0" w:rsidRDefault="00BB51B0" w:rsidP="00BB51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 xml:space="preserve">stworzenie płaszczyzny dla szerokiej współpracy podmiotów </w:t>
      </w:r>
      <w:r>
        <w:rPr>
          <w:rFonts w:ascii="Lato" w:hAnsi="Lato" w:cs="Lato"/>
          <w:color w:val="000000"/>
          <w:sz w:val="24"/>
          <w:szCs w:val="24"/>
        </w:rPr>
        <w:t>gospodarczych Europy Centralnej</w:t>
      </w:r>
      <w:r>
        <w:rPr>
          <w:rFonts w:ascii="Lato" w:hAnsi="Lato" w:cs="Lato"/>
          <w:color w:val="000000"/>
          <w:sz w:val="24"/>
          <w:szCs w:val="24"/>
        </w:rPr>
        <w:br/>
      </w:r>
      <w:r w:rsidRPr="00BB51B0">
        <w:rPr>
          <w:rFonts w:ascii="Lato" w:hAnsi="Lato" w:cs="Lato"/>
          <w:color w:val="000000"/>
          <w:sz w:val="24"/>
          <w:szCs w:val="24"/>
        </w:rPr>
        <w:t>i Wschodniej z innymi regionami świata,</w:t>
      </w:r>
    </w:p>
    <w:p w:rsidR="00BB51B0" w:rsidRPr="00BB51B0" w:rsidRDefault="00BB51B0" w:rsidP="00BB51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>stworzenie systemu informacji i promocji gospodarczej dla pr</w:t>
      </w:r>
      <w:r>
        <w:rPr>
          <w:rFonts w:ascii="Lato" w:hAnsi="Lato" w:cs="Lato"/>
          <w:color w:val="000000"/>
          <w:sz w:val="24"/>
          <w:szCs w:val="24"/>
        </w:rPr>
        <w:t>zedsiębiorców Europy Centralnej</w:t>
      </w:r>
      <w:r>
        <w:rPr>
          <w:rFonts w:ascii="Lato" w:hAnsi="Lato" w:cs="Lato"/>
          <w:color w:val="000000"/>
          <w:sz w:val="24"/>
          <w:szCs w:val="24"/>
        </w:rPr>
        <w:br/>
      </w:r>
      <w:r w:rsidRPr="00BB51B0">
        <w:rPr>
          <w:rFonts w:ascii="Lato" w:hAnsi="Lato" w:cs="Lato"/>
          <w:color w:val="000000"/>
          <w:sz w:val="24"/>
          <w:szCs w:val="24"/>
        </w:rPr>
        <w:t>i Wschodniej,</w:t>
      </w:r>
    </w:p>
    <w:p w:rsidR="00BB51B0" w:rsidRPr="00BB51B0" w:rsidRDefault="00BB51B0" w:rsidP="00BB51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>większenie i pogłębienie współpracy samorządu gospodarc</w:t>
      </w:r>
      <w:r>
        <w:rPr>
          <w:rFonts w:ascii="Lato" w:hAnsi="Lato" w:cs="Lato"/>
          <w:color w:val="000000"/>
          <w:sz w:val="24"/>
          <w:szCs w:val="24"/>
        </w:rPr>
        <w:t>zego z samorządem terytorialnym</w:t>
      </w:r>
      <w:r>
        <w:rPr>
          <w:rFonts w:ascii="Lato" w:hAnsi="Lato" w:cs="Lato"/>
          <w:color w:val="000000"/>
          <w:sz w:val="24"/>
          <w:szCs w:val="24"/>
        </w:rPr>
        <w:br/>
      </w:r>
      <w:r w:rsidRPr="00BB51B0">
        <w:rPr>
          <w:rFonts w:ascii="Lato" w:hAnsi="Lato" w:cs="Lato"/>
          <w:color w:val="000000"/>
          <w:sz w:val="24"/>
          <w:szCs w:val="24"/>
        </w:rPr>
        <w:t>i administracją państwową,</w:t>
      </w:r>
    </w:p>
    <w:p w:rsidR="00BB51B0" w:rsidRPr="00BB51B0" w:rsidRDefault="00BB51B0" w:rsidP="00BB51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w w:val="99"/>
          <w:sz w:val="24"/>
          <w:szCs w:val="24"/>
        </w:rPr>
        <w:lastRenderedPageBreak/>
        <w:t xml:space="preserve">wsparcie dla promocji i eksportu produktów, usług i kapitału </w:t>
      </w:r>
      <w:r>
        <w:rPr>
          <w:rFonts w:ascii="Lato" w:hAnsi="Lato" w:cs="Lato"/>
          <w:color w:val="000000"/>
          <w:w w:val="99"/>
          <w:sz w:val="24"/>
          <w:szCs w:val="24"/>
        </w:rPr>
        <w:t>przedsiębiorców zorganizowanych</w:t>
      </w:r>
      <w:r>
        <w:rPr>
          <w:rFonts w:ascii="Lato" w:hAnsi="Lato" w:cs="Lato"/>
          <w:color w:val="000000"/>
          <w:w w:val="99"/>
          <w:sz w:val="24"/>
          <w:szCs w:val="24"/>
        </w:rPr>
        <w:br/>
      </w:r>
      <w:r w:rsidRPr="00BB51B0">
        <w:rPr>
          <w:rFonts w:ascii="Lato" w:hAnsi="Lato" w:cs="Lato"/>
          <w:color w:val="000000"/>
          <w:w w:val="99"/>
          <w:sz w:val="24"/>
          <w:szCs w:val="24"/>
        </w:rPr>
        <w:t>w samorządzie gospodarczym, w tym przez współpracę z izbami bilateralnymi i multilateralnymi.</w:t>
      </w:r>
    </w:p>
    <w:p w:rsidR="00BB51B0" w:rsidRPr="00BB51B0" w:rsidRDefault="00BB51B0" w:rsidP="00BB51B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</w:p>
    <w:p w:rsidR="00BB51B0" w:rsidRPr="00BB51B0" w:rsidRDefault="00BB51B0" w:rsidP="00BB51B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>Organizatorzy spodziewają się udziału około 300 osób w tym przedstawicieli około 80 zagranicznych i 90 krajowych przedstawicieli izb gospodarczych. Gośćmi specjalnymi będą handlowcy z Chin zainteresowani zakupem krajowych produktów, począwszy od żywności, poprzez urządzenia, maszyny, kosmetyki, wysoko wyspecjalizowane usługi budowlane i inne.</w:t>
      </w:r>
    </w:p>
    <w:p w:rsidR="00BB51B0" w:rsidRPr="00BB51B0" w:rsidRDefault="00BB51B0" w:rsidP="00BB51B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</w:p>
    <w:p w:rsidR="00BB51B0" w:rsidRPr="00BB51B0" w:rsidRDefault="00BB51B0" w:rsidP="00BB51B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b/>
          <w:bCs/>
          <w:color w:val="000000"/>
          <w:sz w:val="24"/>
          <w:szCs w:val="24"/>
        </w:rPr>
        <w:t>Tematy debat:</w:t>
      </w:r>
    </w:p>
    <w:p w:rsidR="00BB51B0" w:rsidRPr="00BB51B0" w:rsidRDefault="00BB51B0" w:rsidP="00BB51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>Współpraca gospodarcza administracji centralnej z samorządem gospodarczym Europy Centralnej i Wschodniej</w:t>
      </w:r>
    </w:p>
    <w:p w:rsidR="00BB51B0" w:rsidRPr="00BB51B0" w:rsidRDefault="00BB51B0" w:rsidP="00BB51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 xml:space="preserve">Administracja regionalna a samorząd gospodarczy Europy Centralnej i Wschodniej – kooperacja ekonomiczna </w:t>
      </w:r>
    </w:p>
    <w:p w:rsidR="00BB51B0" w:rsidRPr="00BB51B0" w:rsidRDefault="00BB51B0" w:rsidP="00BB51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>Własność intelektualna w działalności gospodarczej, procedura międzynarodowa znaków towarowych</w:t>
      </w:r>
    </w:p>
    <w:p w:rsidR="00BB51B0" w:rsidRPr="00BB51B0" w:rsidRDefault="00BB51B0" w:rsidP="00BB51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>Rozwój turystyki w Europie Środkowo-Wschodniej – czy możliwa jest wspólna oferta na rynki azjatyckie, bliskowschodnie i Amerykę</w:t>
      </w:r>
    </w:p>
    <w:p w:rsidR="00BB51B0" w:rsidRPr="00BB51B0" w:rsidRDefault="00BB51B0" w:rsidP="00BB51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 xml:space="preserve">Chińskie inicjatywy i projekty regionalne: jaka jest przyszłość 16+1 </w:t>
      </w:r>
    </w:p>
    <w:p w:rsidR="00BB51B0" w:rsidRPr="00BB51B0" w:rsidRDefault="00BB51B0" w:rsidP="00BB51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>Przyszłość elektro mobilności,  wizjonerskie źródła pozyskania energii</w:t>
      </w:r>
    </w:p>
    <w:p w:rsidR="00BB51B0" w:rsidRPr="00BB51B0" w:rsidRDefault="00BB51B0" w:rsidP="00BB51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>Współpraca międzynarodowa Wyższych Uczelni ważnym elementem rozwoju gospodarczego; Szkolnictwo wyższe w służbie  innowacyjnej gospodarki</w:t>
      </w:r>
    </w:p>
    <w:p w:rsidR="00BB51B0" w:rsidRPr="00BB51B0" w:rsidRDefault="00BB51B0" w:rsidP="00BB51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>Przyczyny najczęstszych nieporozumień kulturowych: jak je przełamać</w:t>
      </w:r>
    </w:p>
    <w:p w:rsidR="00BB51B0" w:rsidRPr="00BB51B0" w:rsidRDefault="00BB51B0" w:rsidP="00BB51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>Cross Border e-commerce. Jak zdobyć i obsługiwać Klienta poza Polską</w:t>
      </w:r>
    </w:p>
    <w:p w:rsidR="00BB51B0" w:rsidRPr="00BB51B0" w:rsidRDefault="00BB51B0" w:rsidP="00BB51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>Nowe technologie, e-commerce -  ich zastosowanie w handlu: wyzwania i zagrożenia</w:t>
      </w:r>
    </w:p>
    <w:p w:rsidR="00BB51B0" w:rsidRPr="00BB51B0" w:rsidRDefault="00BB51B0" w:rsidP="00BB51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>Europa Środkowo-Wschodnia na Jedwabnym Szlaku– diagnoza</w:t>
      </w:r>
    </w:p>
    <w:p w:rsidR="00BB51B0" w:rsidRPr="00BB51B0" w:rsidRDefault="00BB51B0" w:rsidP="00BB51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>Chiny w dobie CIIE – jakie wyzwania stoją przed eksportem do PaństwaŚrodka</w:t>
      </w:r>
    </w:p>
    <w:p w:rsidR="00BB51B0" w:rsidRDefault="00BB51B0">
      <w:pPr>
        <w:rPr>
          <w:rFonts w:ascii="Lato" w:hAnsi="Lato" w:cs="Lato"/>
          <w:b/>
          <w:bCs/>
          <w:color w:val="000000"/>
          <w:sz w:val="28"/>
          <w:szCs w:val="28"/>
        </w:rPr>
      </w:pPr>
    </w:p>
    <w:p w:rsidR="00BB51B0" w:rsidRPr="00BB51B0" w:rsidRDefault="00BB51B0" w:rsidP="00BB51B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Lato" w:hAnsi="Lato" w:cs="Lato"/>
          <w:color w:val="000000"/>
          <w:sz w:val="28"/>
          <w:szCs w:val="28"/>
        </w:rPr>
      </w:pPr>
      <w:r w:rsidRPr="00BB51B0">
        <w:rPr>
          <w:rFonts w:ascii="Lato" w:hAnsi="Lato" w:cs="Lato"/>
          <w:b/>
          <w:bCs/>
          <w:color w:val="000000"/>
          <w:sz w:val="28"/>
          <w:szCs w:val="28"/>
        </w:rPr>
        <w:t>Więcej informacji o Kongresie na stronie www.kongresgospodarczy.org</w:t>
      </w:r>
    </w:p>
    <w:p w:rsidR="00BB51B0" w:rsidRPr="00BB51B0" w:rsidRDefault="00BB51B0" w:rsidP="00BB51B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Lato" w:hAnsi="Lato" w:cs="Lato"/>
          <w:color w:val="000000"/>
          <w:sz w:val="24"/>
          <w:szCs w:val="24"/>
        </w:rPr>
      </w:pPr>
    </w:p>
    <w:p w:rsidR="00BB51B0" w:rsidRPr="00BB51B0" w:rsidRDefault="00BB51B0" w:rsidP="00BB51B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>Osobą odpowiedzialną za współpracę jest p. Katarzyna Kaczmarska</w:t>
      </w:r>
    </w:p>
    <w:p w:rsidR="00BB51B0" w:rsidRPr="00BB51B0" w:rsidRDefault="00BB51B0" w:rsidP="00BB51B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Lato" w:hAnsi="Lato" w:cs="Lato"/>
          <w:color w:val="000000"/>
          <w:sz w:val="24"/>
          <w:szCs w:val="24"/>
        </w:rPr>
      </w:pPr>
      <w:r w:rsidRPr="00BB51B0">
        <w:rPr>
          <w:rFonts w:ascii="Lato" w:hAnsi="Lato" w:cs="Lato"/>
          <w:color w:val="000000"/>
          <w:sz w:val="24"/>
          <w:szCs w:val="24"/>
        </w:rPr>
        <w:t>e-mail: biuro@wig.waw.pl, tel. +48 22 225 01 11</w:t>
      </w:r>
    </w:p>
    <w:p w:rsidR="00241C57" w:rsidRDefault="00241C57" w:rsidP="00480ED7">
      <w:pPr>
        <w:pStyle w:val="BasicParagraph"/>
        <w:rPr>
          <w:rFonts w:ascii="Lato" w:hAnsi="Lato" w:cs="Lato"/>
          <w:lang w:val="pl-PL"/>
        </w:rPr>
      </w:pPr>
    </w:p>
    <w:p w:rsidR="00241C57" w:rsidRDefault="00241C57" w:rsidP="00241C57">
      <w:pPr>
        <w:pStyle w:val="BasicParagraph"/>
        <w:jc w:val="center"/>
        <w:rPr>
          <w:rFonts w:ascii="Lato" w:hAnsi="Lato" w:cs="Lato"/>
          <w:b/>
          <w:bCs/>
          <w:color w:val="194CE5"/>
          <w:sz w:val="32"/>
          <w:szCs w:val="32"/>
        </w:rPr>
      </w:pPr>
      <w:r w:rsidRPr="00241C57">
        <w:rPr>
          <w:rFonts w:ascii="Lato" w:hAnsi="Lato" w:cs="Lato"/>
          <w:b/>
          <w:bCs/>
          <w:color w:val="194CE5"/>
          <w:sz w:val="32"/>
          <w:szCs w:val="32"/>
        </w:rPr>
        <w:t>WYDARZENIA TOWARZYSZĄCE</w:t>
      </w:r>
    </w:p>
    <w:p w:rsidR="00241C57" w:rsidRDefault="00241C57" w:rsidP="00241C57">
      <w:pPr>
        <w:pStyle w:val="BasicParagraph"/>
        <w:jc w:val="center"/>
        <w:rPr>
          <w:rFonts w:ascii="Lato" w:hAnsi="Lato" w:cs="Lato"/>
          <w:b/>
          <w:bCs/>
          <w:color w:val="194CE5"/>
          <w:sz w:val="32"/>
          <w:szCs w:val="3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:rsidR="0093798E" w:rsidTr="00764FB1">
        <w:trPr>
          <w:jc w:val="center"/>
        </w:trPr>
        <w:tc>
          <w:tcPr>
            <w:tcW w:w="5395" w:type="dxa"/>
            <w:vAlign w:val="center"/>
          </w:tcPr>
          <w:p w:rsidR="00241C57" w:rsidRDefault="0093798E" w:rsidP="00764FB1">
            <w:pPr>
              <w:pStyle w:val="BasicParagraph"/>
              <w:jc w:val="center"/>
              <w:rPr>
                <w:rFonts w:ascii="Lato" w:hAnsi="Lato" w:cs="Lato"/>
                <w:sz w:val="32"/>
                <w:szCs w:val="32"/>
                <w:lang w:val="pl-PL"/>
              </w:rPr>
            </w:pPr>
            <w:r>
              <w:rPr>
                <w:rFonts w:ascii="Lato" w:hAnsi="Lato" w:cs="Lato"/>
                <w:noProof/>
                <w:sz w:val="32"/>
                <w:szCs w:val="32"/>
                <w:lang w:val="pl-PL" w:eastAsia="pl-PL"/>
              </w:rPr>
              <w:drawing>
                <wp:inline distT="0" distB="0" distL="0" distR="0">
                  <wp:extent cx="2362200" cy="533026"/>
                  <wp:effectExtent l="0" t="0" r="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port_expo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450" cy="576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vAlign w:val="center"/>
          </w:tcPr>
          <w:p w:rsidR="00241C57" w:rsidRDefault="00BB51B0" w:rsidP="00764FB1">
            <w:pPr>
              <w:pStyle w:val="BasicParagraph"/>
              <w:jc w:val="center"/>
              <w:rPr>
                <w:rFonts w:ascii="Lato" w:hAnsi="Lato" w:cs="Lato"/>
                <w:sz w:val="32"/>
                <w:szCs w:val="32"/>
                <w:lang w:val="pl-PL"/>
              </w:rPr>
            </w:pPr>
            <w:r>
              <w:rPr>
                <w:rFonts w:ascii="Lato" w:hAnsi="Lato" w:cs="Lato"/>
                <w:noProof/>
                <w:sz w:val="32"/>
                <w:szCs w:val="32"/>
                <w:lang w:val="pl-PL" w:eastAsia="pl-PL"/>
              </w:rPr>
              <w:drawing>
                <wp:inline distT="0" distB="0" distL="0" distR="0">
                  <wp:extent cx="1581150" cy="753225"/>
                  <wp:effectExtent l="0" t="0" r="0" b="889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P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724" cy="773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98E" w:rsidTr="00764FB1">
        <w:trPr>
          <w:jc w:val="center"/>
        </w:trPr>
        <w:tc>
          <w:tcPr>
            <w:tcW w:w="5395" w:type="dxa"/>
          </w:tcPr>
          <w:p w:rsidR="0093798E" w:rsidRDefault="0093798E" w:rsidP="0093798E">
            <w:pPr>
              <w:pStyle w:val="BasicParagraph"/>
              <w:jc w:val="center"/>
              <w:rPr>
                <w:rFonts w:ascii="Lato" w:hAnsi="Lato" w:cs="Lato"/>
              </w:rPr>
            </w:pPr>
          </w:p>
          <w:p w:rsidR="0093798E" w:rsidRPr="0093798E" w:rsidRDefault="0093798E" w:rsidP="0093798E">
            <w:pPr>
              <w:pStyle w:val="BasicParagraph"/>
              <w:jc w:val="center"/>
              <w:rPr>
                <w:rFonts w:ascii="Lato" w:hAnsi="Lato" w:cs="Lato"/>
              </w:rPr>
            </w:pPr>
            <w:r>
              <w:rPr>
                <w:rFonts w:ascii="Lato" w:hAnsi="Lato" w:cs="Lato"/>
              </w:rPr>
              <w:t>www.exportexpo.org</w:t>
            </w:r>
          </w:p>
        </w:tc>
        <w:tc>
          <w:tcPr>
            <w:tcW w:w="5395" w:type="dxa"/>
          </w:tcPr>
          <w:p w:rsidR="00BB51B0" w:rsidRDefault="00BB51B0" w:rsidP="00BB51B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" w:hAnsi="Lato" w:cs="Lato"/>
                <w:color w:val="000000"/>
                <w:sz w:val="24"/>
                <w:szCs w:val="24"/>
                <w:lang w:val="en-US"/>
              </w:rPr>
            </w:pPr>
          </w:p>
          <w:p w:rsidR="0093798E" w:rsidRPr="00BB51B0" w:rsidRDefault="00BB51B0" w:rsidP="00BB51B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" w:hAnsi="Lato" w:cs="Lato"/>
                <w:color w:val="000000"/>
                <w:sz w:val="24"/>
                <w:szCs w:val="24"/>
                <w:lang w:val="en-US"/>
              </w:rPr>
            </w:pPr>
            <w:r w:rsidRPr="00BB51B0">
              <w:rPr>
                <w:rFonts w:ascii="Lato" w:hAnsi="Lato" w:cs="Lato"/>
                <w:color w:val="000000"/>
                <w:sz w:val="24"/>
                <w:szCs w:val="24"/>
                <w:lang w:val="en-US"/>
              </w:rPr>
              <w:t>www.chinahomelife247.eu</w:t>
            </w:r>
          </w:p>
        </w:tc>
        <w:bookmarkStart w:id="0" w:name="_GoBack"/>
        <w:bookmarkEnd w:id="0"/>
      </w:tr>
    </w:tbl>
    <w:p w:rsidR="00F849BD" w:rsidRDefault="00F849BD"/>
    <w:sectPr w:rsidR="00F849BD" w:rsidSect="0093798E">
      <w:pgSz w:w="12240" w:h="15840"/>
      <w:pgMar w:top="567" w:right="720" w:bottom="567" w:left="720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5BF"/>
    <w:multiLevelType w:val="hybridMultilevel"/>
    <w:tmpl w:val="75B2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0138"/>
    <w:multiLevelType w:val="hybridMultilevel"/>
    <w:tmpl w:val="055E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5363D"/>
    <w:multiLevelType w:val="hybridMultilevel"/>
    <w:tmpl w:val="07AE1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1C57"/>
    <w:rsid w:val="00241C57"/>
    <w:rsid w:val="0042670A"/>
    <w:rsid w:val="00480ED7"/>
    <w:rsid w:val="0066200C"/>
    <w:rsid w:val="00744604"/>
    <w:rsid w:val="00764FB1"/>
    <w:rsid w:val="007B4723"/>
    <w:rsid w:val="0093798E"/>
    <w:rsid w:val="00BB51B0"/>
    <w:rsid w:val="00F8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241C5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241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BB51B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BB51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</dc:creator>
  <cp:lastModifiedBy>TTG5</cp:lastModifiedBy>
  <cp:revision>2</cp:revision>
  <dcterms:created xsi:type="dcterms:W3CDTF">2019-05-06T16:00:00Z</dcterms:created>
  <dcterms:modified xsi:type="dcterms:W3CDTF">2019-05-06T16:00:00Z</dcterms:modified>
</cp:coreProperties>
</file>