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E0" w:rsidRPr="00F763E0" w:rsidRDefault="00F763E0" w:rsidP="00F763E0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Załącznik do uchwały Nr ....................</w:t>
      </w: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  <w:t>Zarządu Powiatu w Legionowie</w:t>
      </w: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  <w:t>z dnia....................2022 r.</w:t>
      </w:r>
    </w:p>
    <w:p w:rsidR="00F763E0" w:rsidRPr="00F763E0" w:rsidRDefault="00F763E0" w:rsidP="00F763E0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F763E0" w:rsidRPr="00F763E0" w:rsidRDefault="00F763E0" w:rsidP="00F763E0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ZARZĄD POWIATU W LEGIONOWIE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na podstawie art. 13 ustawy z dnia 24 kwietnia 2003 r. o działalności pożytku publicznego i o wolontariacie (</w:t>
      </w:r>
      <w:proofErr w:type="spellStart"/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t.j</w:t>
      </w:r>
      <w:proofErr w:type="spellEnd"/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. Dz. U. z 2020 r. poz. 1057 z </w:t>
      </w:r>
      <w:proofErr w:type="spellStart"/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. zm.), na podstawie uchwały Nr 247/XXXV/2021 Rady Powiatu w Legionowie z dnia 29 listopada 2021 roku w sprawie uchwalenia Programu Współpracy Powiatu Legionowskiego z organizacjami pozarządowymi oraz podmiotami, o których mowa w art. 3 ust. 3 ustawy o działalności pożytku publicznego i o wolontariacie na rok 2022 r. oraz Uchwały nr 208/XXVII/2021 z dnia 29 marca 2021 r. Rady Powiatu w Legionowie w sprawie przyjęcia Programu Ochrony Zdrowia Psychicznego dla mieszkańców Powiatu Legionowskiego na lata 2021 - 2025.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OGŁASZA OTWARTY KONKURS OFERT NA REALIZACJĘ ZADANIA PUBLICZNEGO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I. Rodzaj zadania: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Zadanie z zakresu ochrony i promocji zdrowia: 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F763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„Profilaktyka ochrony zdrowia psychicznego - zapobieganie zaburzeniom psychicznym i konsekwencjom pandemii Covid-19 dla zdrowia psychicznego dzieci i młodzieży" w roku 2022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II. Wysokość środków publicznych przeznaczonych na realizację zadania:</w:t>
      </w:r>
    </w:p>
    <w:p w:rsidR="00F763E0" w:rsidRPr="00F763E0" w:rsidRDefault="00F763E0" w:rsidP="00F763E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1. Wysokość środków publicznych przeznaczonych na realizację tego zadania: </w:t>
      </w: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  <w:t>40 000,00 zł (słownie: czterdzieści tysięcy zł),</w:t>
      </w:r>
    </w:p>
    <w:p w:rsidR="00F763E0" w:rsidRPr="00F763E0" w:rsidRDefault="00F763E0" w:rsidP="00F763E0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2. Maksymalna kwota dotacji w ramach zadania: 40 000,00 zł.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III. Zasady przyznawania dotacji: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1. Do złożenia ofert w konkursie uprawnione są organizacje pozarządowe oraz podmioty wymienione w art. 3 ust. 3 ustawy z dnia 24 kwietnia 2003 r. o działalności pożytku publicznego i o wolontariacie, których działalność statutowa zgodna jest z dziedziną zlecanego zadania.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2. Warunkiem przystąpienia do konkursu jest wypełnienie właściwego formularza oferty,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poz. 2057), w zależności od rodzaju zadania </w:t>
      </w: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lastRenderedPageBreak/>
        <w:t>publicznego oraz złożenie go wraz z wymaganymi załącznikami w terminie i w sposób określony w niniejszym ogłoszeniu.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3. Oferent winien przedstawić ofertę zgodnie z zasadami uczciwej konkurencji, gwarantując wykonanie zadania w sposób efektywny, oszczędny i terminowy.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4. Za rzetelność, poprawność i kompletność oferty oraz zawartych w niej informacji odpowiada oferent.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5. Terminowe złożenie poprawnej i kompletnej oferty do konkursu nie jest równoznaczne z przyznaniem dotacji.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6. Komisja konkursowa zaproponuje wysokość kwot dotacji w oparciu o kryteria, określone w niniejszym ogłoszeniu, w zależności od liczby uzyskanych punktów, zakresu i charakteru zadania objętego ofertą oraz kalkulacji kosztów jego realizacji.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7. Dotacja będzie przyznana w oparciu o przepisy: 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7.1. Ustawy z dnia 24 kwietnia 2003 r. o działalności pożytku publicznego i o wolontariacie, 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7.2. Ustawy z dnia 27 sierpnia 2009 r. o finansach publicznych (</w:t>
      </w:r>
      <w:proofErr w:type="spellStart"/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t.j</w:t>
      </w:r>
      <w:proofErr w:type="spellEnd"/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. Dz. U. z 2021 r. poz. 305 </w:t>
      </w:r>
      <w:r w:rsidRPr="00F763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 </w:t>
      </w:r>
      <w:proofErr w:type="spellStart"/>
      <w:r w:rsidRPr="00F763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F763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</w:t>
      </w: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). 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8. W ramach zadania określonego w konkursie dopuszcza się możliwość dokonania wyboru więcej niż jednej oferty.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9. Decyzja o przyznaniu dotacji nie jest decyzją administracyjną w rozumieniu przepisów Kodeksu postępowania administracyjnego.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10. Każdy oferent w terminie 30 dni od ogłoszenia wyników konkursu może żądać uzasadnienia wyboru.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11. Warunkiem przekazania dotacji jest zawarcie umowy w formie pisemnej pod rygorem nieważności.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12. Upoważnieni przedstawiciele oferenta zobowiązani są do osobistego zgłoszenia się w Wydziale Spraw Społecznych w celu uzgodnienia warunków umowy, w terminie do 7 dni od ogłoszenia wyników konkursu.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13. Niedotrzymanie powyższego terminu jest równoznaczne z rezygnacją oferenta z przyznanej dotacji. 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14. Oferent przyjmując zlecenie realizacji zadania, zobowiązuje się do wykonania zadania w zakresie i na zasadach określonych w umowie, o której mowa w pkt. 11.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15. Warunkiem zawarcia umowy jest: </w:t>
      </w:r>
    </w:p>
    <w:p w:rsidR="00F763E0" w:rsidRPr="00F763E0" w:rsidRDefault="00F763E0" w:rsidP="00F763E0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lastRenderedPageBreak/>
        <w:t xml:space="preserve">złożenie aktualnego harmonogramu zadania (o ile nastąpiły zmiany w stosunku do złożonej wcześniej oferty), </w:t>
      </w:r>
    </w:p>
    <w:p w:rsidR="00F763E0" w:rsidRPr="00F763E0" w:rsidRDefault="00F763E0" w:rsidP="00F763E0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ind w:left="576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złożenie aktualnego kosztorysu zadania (o ile nastąpiły zmiany w stosunku do złożonej wcześniej oferty). 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16. Składając ofertę Oferent oświadcza, że zna i akceptuje warunki i zasady przyznawania i rozliczania dotacji określone w ogłoszeniu konkursowym i wyżej wymienionych dokumentach.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17. Oferent może złożyć maksymalnie jedną ofertę w ramach zadania.</w:t>
      </w: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IV. Termin i warunki realizacji zadania: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1. Termin realizacji zadania:  9 maja 2022 r. – 31 grudnia 2022 r.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2. Miejsce realizacji zadania – adres wskazany przez oferenta na terenie Powiatu Legionowskiego oraz szkoły średnie z terenu powiatu legionowskiego. 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3. Celem konkursu jest promocja zdrowia psychicznego i zapobieganie zaburzeniom psychicznym młodym mieszkańcom powiatu legionowskiego. Cel będzie realizowany poprzez prowadzenie działań na rzecz upowszechnienia wiedzy na temat zdrowia psychicznego dzieci i młodzieży, kształtowania przekonań, postaw i </w:t>
      </w:r>
      <w:proofErr w:type="spellStart"/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>zachowań</w:t>
      </w:r>
      <w:proofErr w:type="spellEnd"/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oraz stylu życia wzmacniającego zdrowie psychiczne oraz zapobieganie i wczesne wykrywanie zaburzeń depresyjnych, w tym minimalizacja </w:t>
      </w:r>
      <w:proofErr w:type="spellStart"/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>zachowań</w:t>
      </w:r>
      <w:proofErr w:type="spellEnd"/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agresywnych związanych z izolacją społeczną oraz innymi ograniczeniami spowodowanymi wprowadzonym stanem epidemii.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>Zadanie powinno być realizowane na rzecz mieszkańców Powiatu Legionowskiego poprzez: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>a) zapewnienie bezpośredniego dostępu do pomocy psychiatrycznej dzieciom i młodzieży z terenu powiatu legionowskiego; 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>b) organizacja szkolenia dla rodziców nakierowanego na problematykę wpływu pandemii Covid-19 na dzieci i młodzież.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>c) organizacja szkolenia dla pedagogów szkolnych o tematyce interwencji kryzysowych związanych z pandemią Covid-19</w:t>
      </w:r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br/>
        <w:t xml:space="preserve">d) organizacja grupy wsparcia dla pedagogów i psychologów szkolnych w zakresie wspierania rozwoju dzieci i </w:t>
      </w:r>
      <w:proofErr w:type="spellStart"/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>mlodzieży</w:t>
      </w:r>
      <w:proofErr w:type="spellEnd"/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 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4. W trakcie realizacji zadania mogą być dokonywane przesunięcia w zakresie poszczególnych pozycji kosztów działania oraz pomiędzy działaniami do 10% wysokości zwiększanego działania lub kosztu, bez konieczności aneksowania umowy. O przesunięciach, wraz z uzasadnieniem, należy poinformować w sprawozdaniu końcowym z realizacji zadania.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5. Warunki realizacji zadania określać będzie umowa.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V. Termin i warunki składania ofert: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lastRenderedPageBreak/>
        <w:t>1. Oferty należy składać w zamkniętych, opatrzonych pieczęcią organizacji, kopertach z dopiskiem: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>„Profilaktyka ochrony zdrowia psychicznego - zapobieganie zaburzeniom psychicznym i konsekwencjom pandemii Covid-19 dla zdrowia psychicznego dzieci i młodzieży</w:t>
      </w:r>
      <w:r w:rsidRPr="00F763E0"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  <w:t>" w roku 2022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oraz 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i/>
          <w:iCs/>
          <w:sz w:val="20"/>
          <w:szCs w:val="20"/>
          <w:u w:val="single"/>
          <w:shd w:val="clear" w:color="auto" w:fill="FFFFFF"/>
          <w:lang w:eastAsia="pl-PL"/>
        </w:rPr>
        <w:t>„Nie otwierać przed posiedzeniem komisji konkursowej”</w:t>
      </w:r>
      <w:r w:rsidRPr="00F763E0">
        <w:rPr>
          <w:rFonts w:ascii="Verdana" w:eastAsia="Times New Roman" w:hAnsi="Verdana" w:cs="Verdana"/>
          <w:b/>
          <w:bCs/>
          <w:i/>
          <w:iCs/>
          <w:sz w:val="20"/>
          <w:szCs w:val="20"/>
          <w:shd w:val="clear" w:color="auto" w:fill="FFFFFF"/>
          <w:lang w:eastAsia="pl-PL"/>
        </w:rPr>
        <w:t xml:space="preserve"> 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w terminie do 1 kwietnia 2022 r. do godz. 16.00 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- w Biurze Obsługi Mieszkańca Starostwa Powiatowego w Legionowie - w poniedziałki w godzinach: 8.00 – 18.00; od wtorku do piątku w godzinach 8.00 - 16.00, lub 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- za pośrednictwem poczty (decyduje data wpływu do Starostwa Powiatowego w Legionowie) na adres: Starostwo Powiatowe w Legionowie, ul. Sikorskiego 11, 05-119 Legionowo.</w:t>
      </w:r>
    </w:p>
    <w:p w:rsidR="00F763E0" w:rsidRPr="00F763E0" w:rsidRDefault="00F763E0" w:rsidP="00F763E0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2. Wnioskodawca ubiegający się o dotację na realizację zadań powinien wypełnić ofertę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3. Oferenci zobowiązani są do wskazania w ofercie zakładanych rezultatów zadania publicznego, planowanego poziomu ich osiągnięcia oraz sposobu monitorowania tych rezultatów (cz. III pkt. 6 Oferty - "Dodatkowe informacje dotyczące rezultatów realizacji zadania publicznego").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4. Do Oferty Oferent zobowiązany jest załączyć: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a) oryginały lub kopie poświadczonych za zgodność z oryginałem wyciągu z właściwego rejestru lub ewidencji lub innych dokumentów pozwalających stwierdzić posiadanie osobowości prawnej i wskazujących sposób reprezentowania osoby prawnej i składania oświadczeń woli wobec organu administracji publicznej (dotyczy Oferentów nieposiadających wpisu do Krajowego Rejestru Sądowego lub zarejestrowanych poza rejestrami prowadzonymi przez Starostę Legionowskiego),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b) oryginały lub kopie poświadczonych za zgodność z oryginałem statutu lub innych dokumentów pozwalających stwierdzić cele oraz przedmiot nieodpłatnej i odpłatnej działalności statutowej Oferenta (dotyczy Oferentów nieposiadających wpisu do Krajowego Rejestru Sądowego lub rejestru prowadzonego przez Starostę Legionowskiego lub w przypadku, jeśli we wpisie do Krajowego Rejestru Sądowego nie wyszczególniono przedmiotu nieodpłatnej i odpłatnej działalności statutowej Oferenta). Przedmiot </w:t>
      </w: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lastRenderedPageBreak/>
        <w:t>działalności statutowej oferenta musi być zgodny z zakresem zadań wskazanym w ogłoszeniu o konkursie ofert,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c) szczegółowy plan realizacji zadań.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ind w:left="288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d) dokumenty potwierdzające kwalifikacje osób, przy udziale których organizacja będzie realizować zadanie,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e) deklarację o zamiarze odpłatnego lub nieodpłatnego wykonania zadania publicznego.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5. Do oferty mogą być dołączone inne załączniki, w tym rekomendacje i opinie o oferencie lub realizowanych przez niego projektach.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6. Dokumenty, o których mowa w pkt. 4 powinny zawierać informacje aktualne max. 1 miesiąc przed ich złożeniem wraz z ofertą.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VI. Tryb i kryteria stosowane przy wyborze ofert oraz termin dokonania wyboru ofert: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1. Rozpatrywane będą wyłącznie oferty zgodne z treścią regulaminu konkursu, złożone na obowiązującym formularzu, w terminie określonym w ogłoszeniu konkursowym.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2. Oferta nie podlega ocenie i zostaje odrzucona z powodu następujących błędów formalnych:</w:t>
      </w:r>
    </w:p>
    <w:p w:rsidR="00F763E0" w:rsidRPr="00F763E0" w:rsidRDefault="00F763E0" w:rsidP="00F763E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niewypełnienie wszystkich punktów formularza oferty;</w:t>
      </w:r>
    </w:p>
    <w:p w:rsidR="00F763E0" w:rsidRPr="00F763E0" w:rsidRDefault="00F763E0" w:rsidP="00F763E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po terminie;</w:t>
      </w:r>
    </w:p>
    <w:p w:rsidR="00F763E0" w:rsidRPr="00F763E0" w:rsidRDefault="00F763E0" w:rsidP="00F763E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w niewłaściwy sposób (niezgodnie z ogłoszeniem konkursu, tj. np. przesłanie faksem, drogą elektroniczną);</w:t>
      </w:r>
    </w:p>
    <w:p w:rsidR="00F763E0" w:rsidRPr="00F763E0" w:rsidRDefault="00F763E0" w:rsidP="00F763E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na niewłaściwym formularzu, innym niż określony w ogłoszeniu konkursie;</w:t>
      </w:r>
    </w:p>
    <w:p w:rsidR="00F763E0" w:rsidRPr="00F763E0" w:rsidRDefault="00F763E0" w:rsidP="00F763E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przez podmiot nieuprawniony;</w:t>
      </w:r>
    </w:p>
    <w:p w:rsidR="00F763E0" w:rsidRPr="00F763E0" w:rsidRDefault="00F763E0" w:rsidP="00F763E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przez organizację, która według złożonych dokumentów nie prowadzi działalności w dziedzinie objętej konkursem;</w:t>
      </w:r>
    </w:p>
    <w:p w:rsidR="00F763E0" w:rsidRPr="00F763E0" w:rsidRDefault="00F763E0" w:rsidP="00F763E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niepodpisanej przez osoby upoważnione do tego zgodnie z zapisami statutu i aktualnego odpisu z Krajowego Rejestru Sądowego.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3. W przypadku stwierdzenia innych, niż wymienione w ust. 2, braków w złożonej ofercie, oferent ma obowiązek uzupełnić braki w terminie 2 dni od dnia otrzymania wezwania do ich uzupełnienia.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4. Komisja Konkursowa powołana przez Zarząd Powiatu w Legionowie opiniuje pod względem formalnym i merytorycznym złożone oferty.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5. Ustala się następujące kryteria oceny merytorycznej ofert:</w:t>
      </w:r>
    </w:p>
    <w:p w:rsidR="00F763E0" w:rsidRPr="00F763E0" w:rsidRDefault="00F763E0" w:rsidP="00F763E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lastRenderedPageBreak/>
        <w:t>wartość merytoryczna, jakość oferty 0-30 pkt,</w:t>
      </w:r>
    </w:p>
    <w:p w:rsidR="00F763E0" w:rsidRPr="00F763E0" w:rsidRDefault="00F763E0" w:rsidP="00F763E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sposób informowania odbiorców zadania 0-5 pkt,</w:t>
      </w:r>
    </w:p>
    <w:p w:rsidR="00F763E0" w:rsidRPr="00F763E0" w:rsidRDefault="00F763E0" w:rsidP="00F763E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możliwość realizacji zadania publicznego przez organizację składającą ofertę 0-5 pkt,</w:t>
      </w:r>
    </w:p>
    <w:p w:rsidR="00F763E0" w:rsidRPr="00F763E0" w:rsidRDefault="00F763E0" w:rsidP="00F763E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kalkulacja kosztów realizacji zadania, w tym:</w:t>
      </w:r>
    </w:p>
    <w:p w:rsidR="00F763E0" w:rsidRPr="00F763E0" w:rsidRDefault="00F763E0" w:rsidP="00F763E0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realność i rzetelność kosztorysu 0-5 pkt,</w:t>
      </w:r>
    </w:p>
    <w:p w:rsidR="00F763E0" w:rsidRPr="00F763E0" w:rsidRDefault="00F763E0" w:rsidP="00F763E0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racjonalność gospodarowania środkami finansowymi (w tym stosunek poniesionych nakładów do planowanych efektów) 0-5 pkt,</w:t>
      </w:r>
    </w:p>
    <w:p w:rsidR="00F763E0" w:rsidRPr="00F763E0" w:rsidRDefault="00F763E0" w:rsidP="00F763E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proponowana jakość wykonania zadania, w tym: kompetencje fachowe osób zaangażowanych w realizację oferty (wykształcenie, uprawnienia, praktyka) 0-5 pkt,</w:t>
      </w:r>
    </w:p>
    <w:p w:rsidR="00F763E0" w:rsidRPr="00F763E0" w:rsidRDefault="00F763E0" w:rsidP="00F763E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udział środków własnych - wysokość własnego wkładu finansowego w realizację oferty 0-5 pkt,</w:t>
      </w:r>
    </w:p>
    <w:p w:rsidR="00F763E0" w:rsidRPr="00F763E0" w:rsidRDefault="00F763E0" w:rsidP="00F763E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planowany wkład rzeczowy i osobowy, w tym:</w:t>
      </w:r>
    </w:p>
    <w:p w:rsidR="00F763E0" w:rsidRPr="00F763E0" w:rsidRDefault="00F763E0" w:rsidP="00F763E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możliwości techniczne i organizacyjne realizacji oferty (baza lokalowa, sprzętowa) 0-5 pkt, </w:t>
      </w:r>
    </w:p>
    <w:p w:rsidR="00F763E0" w:rsidRPr="00F763E0" w:rsidRDefault="00F763E0" w:rsidP="00F763E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liczba wolontariuszy zaangażowanych w realizację zadania 0-5 pkt,</w:t>
      </w:r>
    </w:p>
    <w:p w:rsidR="00F763E0" w:rsidRPr="00F763E0" w:rsidRDefault="00F763E0" w:rsidP="00F763E0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analiza i ocena realizacji zadań publicznych w latach poprzednich, w tym:</w:t>
      </w:r>
    </w:p>
    <w:p w:rsidR="00F763E0" w:rsidRPr="00F763E0" w:rsidRDefault="00F763E0" w:rsidP="00F763E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rzetelność oferenta (dotychczasowe dokonania, jakość i terminowość dotychczas wykonywanych zadań, rozliczeń, rekomendacje) 0-5 pkt,</w:t>
      </w:r>
    </w:p>
    <w:p w:rsidR="00F763E0" w:rsidRPr="00F763E0" w:rsidRDefault="00F763E0" w:rsidP="00F763E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dotychczasowa współpraca z samorządem 0-5 pkt.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6. Z prac Komisji Konkursowej sporządza się protokół.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7. Ostatecznego wyboru najkorzystniejszych ofert wraz z decyzją o wysokości kwoty przyznanej dotacji dokonuje Zarząd Powiatu w Legionowie w drodze uchwały.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8. Wyniki otwartego konkursu ofert ogłasza się niezwłocznie po wyborze ofert w siedzibie organu na tablicy informacyjnej, na stronie internetowej organu ogłaszającego konkurs oraz Biuletynie Informacji Publicznej. 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9. Konkurs zostanie rozstrzygnięty do 26 kwietnia 2022 r.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10. Oferty wraz z załącznikami nie są zwracane oferentowi. 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VII. Wysokość środków publicznych przeznaczonych na realizację zadań tego samego rodzaju w roku 2021 wynosiła: 30 000 zł</w:t>
      </w:r>
    </w:p>
    <w:p w:rsidR="00F763E0" w:rsidRPr="00F763E0" w:rsidRDefault="00F763E0" w:rsidP="00F763E0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lastRenderedPageBreak/>
        <w:t>Dodatkowych informacji na temat konkursu udziela Jolanta Grzybowska Główny Specjalista Wydziale Spraw Społecznych tel.(22) 76 40 504, e-mail: zdrowie@powiat-legionowski.pl</w:t>
      </w:r>
      <w:r w:rsidRPr="00F763E0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F763E0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w godzinach 8.00 – 16.00.</w:t>
      </w:r>
    </w:p>
    <w:p w:rsidR="00F763E0" w:rsidRPr="00F763E0" w:rsidRDefault="00F763E0" w:rsidP="00F763E0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F5071E" w:rsidRDefault="00F5071E">
      <w:bookmarkStart w:id="0" w:name="_GoBack"/>
      <w:bookmarkEnd w:id="0"/>
    </w:p>
    <w:sectPr w:rsidR="00F5071E" w:rsidSect="002B7CAA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775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23AE14B9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2" w15:restartNumberingAfterBreak="0">
    <w:nsid w:val="24CA0B28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2465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3905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4625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6065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6785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8225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340674EC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069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52A12019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069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56DA31B0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E0"/>
    <w:rsid w:val="00F5071E"/>
    <w:rsid w:val="00F7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B772E-A36F-4829-935C-AE7B5938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763E0"/>
    <w:pPr>
      <w:suppressAutoHyphens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763E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1787</Words>
  <Characters>10725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Ostaszewska</dc:creator>
  <cp:keywords/>
  <dc:description/>
  <cp:lastModifiedBy>Grażyna Ostaszewska</cp:lastModifiedBy>
  <cp:revision>1</cp:revision>
  <dcterms:created xsi:type="dcterms:W3CDTF">2022-03-09T13:43:00Z</dcterms:created>
  <dcterms:modified xsi:type="dcterms:W3CDTF">2022-03-09T13:43:00Z</dcterms:modified>
</cp:coreProperties>
</file>