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57" w:rsidRDefault="007B4723" w:rsidP="00241C57">
      <w:pPr>
        <w:pStyle w:val="BasicParagraph"/>
        <w:jc w:val="center"/>
        <w:rPr>
          <w:rFonts w:ascii="Lato" w:hAnsi="Lato" w:cs="Lato"/>
          <w:b/>
          <w:bCs/>
          <w:color w:val="194CE5"/>
          <w:sz w:val="40"/>
          <w:szCs w:val="40"/>
        </w:rPr>
      </w:pPr>
      <w:r>
        <w:rPr>
          <w:rFonts w:ascii="Lato" w:hAnsi="Lato" w:cs="Lato"/>
          <w:b/>
          <w:bCs/>
          <w:noProof/>
          <w:color w:val="194CE5"/>
          <w:sz w:val="40"/>
          <w:szCs w:val="40"/>
          <w:lang w:val="pl-PL" w:eastAsia="pl-PL"/>
        </w:rPr>
        <w:drawing>
          <wp:inline distT="0" distB="0" distL="0" distR="0">
            <wp:extent cx="2409825" cy="114798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P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039" cy="117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23" w:rsidRPr="00744604" w:rsidRDefault="007B4723" w:rsidP="00241C57">
      <w:pPr>
        <w:pStyle w:val="BasicParagraph"/>
        <w:jc w:val="center"/>
        <w:rPr>
          <w:rFonts w:ascii="Lato" w:hAnsi="Lato" w:cs="Lato"/>
          <w:b/>
          <w:bCs/>
          <w:color w:val="194CE5"/>
          <w:sz w:val="20"/>
          <w:szCs w:val="20"/>
        </w:rPr>
      </w:pPr>
    </w:p>
    <w:p w:rsidR="00241C57" w:rsidRDefault="00241C57" w:rsidP="00241C57">
      <w:pPr>
        <w:pStyle w:val="BasicParagraph"/>
        <w:jc w:val="center"/>
        <w:rPr>
          <w:rFonts w:ascii="Lato" w:hAnsi="Lato" w:cs="Lato"/>
          <w:b/>
          <w:bCs/>
          <w:color w:val="194CE5"/>
          <w:sz w:val="40"/>
          <w:szCs w:val="40"/>
        </w:rPr>
      </w:pPr>
      <w:r>
        <w:rPr>
          <w:rFonts w:ascii="Lato" w:hAnsi="Lato" w:cs="Lato"/>
          <w:b/>
          <w:bCs/>
          <w:color w:val="194CE5"/>
          <w:sz w:val="40"/>
          <w:szCs w:val="40"/>
        </w:rPr>
        <w:t>TARGI CHINA HOMELIFE POLAND</w:t>
      </w:r>
    </w:p>
    <w:p w:rsidR="00241C57" w:rsidRPr="00744604" w:rsidRDefault="00241C57" w:rsidP="00241C57">
      <w:pPr>
        <w:pStyle w:val="BasicParagraph"/>
        <w:jc w:val="both"/>
        <w:rPr>
          <w:rFonts w:ascii="Lato" w:hAnsi="Lato" w:cs="Lato"/>
          <w:b/>
          <w:bCs/>
          <w:sz w:val="20"/>
          <w:szCs w:val="20"/>
          <w:lang w:val="pl-PL"/>
        </w:rPr>
      </w:pPr>
      <w:bookmarkStart w:id="0" w:name="_GoBack"/>
      <w:bookmarkEnd w:id="0"/>
    </w:p>
    <w:p w:rsidR="00241C57" w:rsidRDefault="00241C57" w:rsidP="00241C57">
      <w:pPr>
        <w:pStyle w:val="BasicParagraph"/>
        <w:jc w:val="both"/>
        <w:rPr>
          <w:rFonts w:ascii="Lato" w:hAnsi="Lato" w:cs="Lato"/>
          <w:lang w:val="pl-PL"/>
        </w:rPr>
      </w:pPr>
      <w:r>
        <w:rPr>
          <w:rFonts w:ascii="Lato" w:hAnsi="Lato" w:cs="Lato"/>
          <w:b/>
          <w:bCs/>
          <w:lang w:val="pl-PL"/>
        </w:rPr>
        <w:t>China Homelife Poland</w:t>
      </w:r>
      <w:r>
        <w:rPr>
          <w:rFonts w:ascii="Lato" w:hAnsi="Lato" w:cs="Lato"/>
          <w:lang w:val="pl-PL"/>
        </w:rPr>
        <w:t xml:space="preserve"> to największe targi artykułów chińskich w Europie Środkowo-Wschodniej, które odbywają się w Polsce od siedmiu lat. Organizatorem targów jest firma Meorient, która od wielu lat zajmuje się rozwijaniem chińskiego biznesu na całym świecie.</w:t>
      </w:r>
    </w:p>
    <w:p w:rsidR="00241C57" w:rsidRDefault="00241C57" w:rsidP="00241C57">
      <w:pPr>
        <w:pStyle w:val="BasicParagraph"/>
        <w:jc w:val="both"/>
        <w:rPr>
          <w:rFonts w:ascii="Lato" w:hAnsi="Lato" w:cs="Lato"/>
          <w:lang w:val="pl-PL"/>
        </w:rPr>
      </w:pPr>
    </w:p>
    <w:p w:rsidR="00241C57" w:rsidRDefault="00241C57" w:rsidP="00241C57">
      <w:pPr>
        <w:pStyle w:val="BasicParagraph"/>
        <w:jc w:val="both"/>
        <w:rPr>
          <w:rFonts w:ascii="Lato" w:hAnsi="Lato" w:cs="Lato"/>
          <w:lang w:val="pl-PL"/>
        </w:rPr>
      </w:pPr>
      <w:r>
        <w:rPr>
          <w:rFonts w:ascii="Lato" w:hAnsi="Lato" w:cs="Lato"/>
          <w:lang w:val="pl-PL"/>
        </w:rPr>
        <w:t>Na targach China Homelife Poland co roku prezentuje się ponad 1500 starannie wyselekcjonowanych chińskich wystawców z takich branż jak: elektronika, materiały budowlane, meble, odzież i tekstylia, oświetlenie, wyposażenie domu i upominki.</w:t>
      </w:r>
    </w:p>
    <w:p w:rsidR="00241C57" w:rsidRDefault="00241C57" w:rsidP="00241C57">
      <w:pPr>
        <w:pStyle w:val="BasicParagraph"/>
        <w:jc w:val="both"/>
        <w:rPr>
          <w:rFonts w:ascii="Lato" w:hAnsi="Lato" w:cs="Lato"/>
          <w:lang w:val="pl-PL"/>
        </w:rPr>
      </w:pPr>
    </w:p>
    <w:p w:rsidR="00241C57" w:rsidRDefault="00241C57" w:rsidP="00241C57">
      <w:pPr>
        <w:pStyle w:val="BasicParagraph"/>
        <w:jc w:val="both"/>
        <w:rPr>
          <w:rFonts w:ascii="Lato" w:hAnsi="Lato" w:cs="Lato"/>
          <w:lang w:val="pl-PL"/>
        </w:rPr>
      </w:pPr>
      <w:r>
        <w:rPr>
          <w:rFonts w:ascii="Lato" w:hAnsi="Lato" w:cs="Lato"/>
          <w:lang w:val="pl-PL"/>
        </w:rPr>
        <w:t>Łącznie z China Homelife Poland odbywają się targi China Machinex nastawione na przemysł maszynowy. Wystawcy oferują podczas nich swoje najlepsze produkty z branż: elektryczność i nowa energia, maszyny, sprzęt i narzędzia.</w:t>
      </w:r>
    </w:p>
    <w:p w:rsidR="00241C57" w:rsidRDefault="00241C57" w:rsidP="00241C57">
      <w:pPr>
        <w:pStyle w:val="BasicParagraph"/>
        <w:jc w:val="both"/>
        <w:rPr>
          <w:rFonts w:ascii="Lato" w:hAnsi="Lato" w:cs="Lato"/>
          <w:lang w:val="pl-PL"/>
        </w:rPr>
      </w:pPr>
    </w:p>
    <w:p w:rsidR="00241C57" w:rsidRDefault="00241C57" w:rsidP="00241C57">
      <w:pPr>
        <w:pStyle w:val="BasicParagraph"/>
        <w:jc w:val="both"/>
        <w:rPr>
          <w:rFonts w:ascii="Lato" w:hAnsi="Lato" w:cs="Lato"/>
          <w:lang w:val="pl-PL"/>
        </w:rPr>
      </w:pPr>
      <w:r>
        <w:rPr>
          <w:rFonts w:ascii="Lato" w:hAnsi="Lato" w:cs="Lato"/>
          <w:lang w:val="pl-PL"/>
        </w:rPr>
        <w:t>Uczestnicy targów mają do dyspozycji specjalną strefę matchmakingu – a w niej zapewnioną pomoc tłumacza, tak by komunikacja z chińskimi dostawcami była jak najprostsza. Spotkanie z idealnie dobranym wystawcą można zaaranżować już przed targami. Dla największych importerów działa również program HostedBuyer, który daje wiele ekskluzywnych korzyści. Biznes to jednak nie wszystko – podczas targów co roku mają miejsce również ciekawe wydarzenia kulturalne.</w:t>
      </w:r>
    </w:p>
    <w:p w:rsidR="00241C57" w:rsidRDefault="00241C57" w:rsidP="00241C57">
      <w:pPr>
        <w:pStyle w:val="BasicParagraph"/>
        <w:jc w:val="center"/>
        <w:rPr>
          <w:rFonts w:ascii="Lato" w:hAnsi="Lato" w:cs="Lato"/>
          <w:b/>
          <w:bCs/>
          <w:sz w:val="28"/>
          <w:szCs w:val="28"/>
          <w:lang w:val="pl-PL"/>
        </w:rPr>
      </w:pPr>
    </w:p>
    <w:p w:rsidR="00241C57" w:rsidRDefault="00241C57" w:rsidP="00241C57">
      <w:pPr>
        <w:pStyle w:val="BasicParagraph"/>
        <w:jc w:val="center"/>
        <w:rPr>
          <w:rFonts w:ascii="Lato" w:hAnsi="Lato" w:cs="Lato"/>
          <w:sz w:val="28"/>
          <w:szCs w:val="28"/>
          <w:lang w:val="pl-PL"/>
        </w:rPr>
      </w:pPr>
      <w:r>
        <w:rPr>
          <w:rFonts w:ascii="Lato" w:hAnsi="Lato" w:cs="Lato"/>
          <w:b/>
          <w:bCs/>
          <w:sz w:val="28"/>
          <w:szCs w:val="28"/>
          <w:lang w:val="pl-PL"/>
        </w:rPr>
        <w:t>Więcej informacji o targach na stronie www.chinahomelife247.eu</w:t>
      </w:r>
    </w:p>
    <w:p w:rsidR="00241C57" w:rsidRDefault="00241C57" w:rsidP="00241C57">
      <w:pPr>
        <w:pStyle w:val="BasicParagraph"/>
        <w:jc w:val="both"/>
        <w:rPr>
          <w:rFonts w:ascii="Lato" w:hAnsi="Lato" w:cs="Lato"/>
          <w:lang w:val="pl-PL"/>
        </w:rPr>
      </w:pPr>
    </w:p>
    <w:p w:rsidR="00241C57" w:rsidRDefault="00241C57" w:rsidP="00241C57">
      <w:pPr>
        <w:pStyle w:val="BasicParagraph"/>
        <w:jc w:val="center"/>
        <w:rPr>
          <w:rFonts w:ascii="Lato" w:hAnsi="Lato" w:cs="Lato"/>
          <w:lang w:val="pl-PL"/>
        </w:rPr>
      </w:pPr>
      <w:r>
        <w:rPr>
          <w:rFonts w:ascii="Lato" w:hAnsi="Lato" w:cs="Lato"/>
          <w:lang w:val="pl-PL"/>
        </w:rPr>
        <w:t>Osobą odpowiedzialną za współpracę jest p. Katarzyna Kaczmarska</w:t>
      </w:r>
    </w:p>
    <w:p w:rsidR="00241C57" w:rsidRDefault="00241C57" w:rsidP="00241C57">
      <w:pPr>
        <w:pStyle w:val="BasicParagraph"/>
        <w:jc w:val="center"/>
        <w:rPr>
          <w:rFonts w:ascii="Lato" w:hAnsi="Lato" w:cs="Lato"/>
          <w:lang w:val="pl-PL"/>
        </w:rPr>
      </w:pPr>
      <w:r>
        <w:rPr>
          <w:rFonts w:ascii="Lato" w:hAnsi="Lato" w:cs="Lato"/>
          <w:lang w:val="pl-PL"/>
        </w:rPr>
        <w:t>e-mail: biuro@wig.waw.pl, tel. +48 22 225 01 11</w:t>
      </w:r>
    </w:p>
    <w:p w:rsidR="00241C57" w:rsidRPr="0093798E" w:rsidRDefault="00241C57" w:rsidP="00241C57">
      <w:pPr>
        <w:pStyle w:val="BasicParagraph"/>
        <w:jc w:val="center"/>
        <w:rPr>
          <w:rFonts w:ascii="Lato" w:hAnsi="Lato" w:cs="Lato"/>
          <w:sz w:val="20"/>
          <w:szCs w:val="20"/>
          <w:lang w:val="pl-PL"/>
        </w:rPr>
      </w:pPr>
    </w:p>
    <w:p w:rsidR="00241C57" w:rsidRDefault="00241C57" w:rsidP="00241C57">
      <w:pPr>
        <w:pStyle w:val="BasicParagraph"/>
        <w:jc w:val="center"/>
        <w:rPr>
          <w:rFonts w:ascii="Lato" w:hAnsi="Lato" w:cs="Lato"/>
          <w:lang w:val="pl-PL"/>
        </w:rPr>
      </w:pPr>
    </w:p>
    <w:p w:rsidR="00241C57" w:rsidRDefault="00241C57" w:rsidP="00241C57">
      <w:pPr>
        <w:pStyle w:val="BasicParagraph"/>
        <w:jc w:val="center"/>
        <w:rPr>
          <w:rFonts w:ascii="Lato" w:hAnsi="Lato" w:cs="Lato"/>
          <w:b/>
          <w:bCs/>
          <w:color w:val="194CE5"/>
          <w:sz w:val="32"/>
          <w:szCs w:val="32"/>
        </w:rPr>
      </w:pPr>
      <w:r w:rsidRPr="00241C57">
        <w:rPr>
          <w:rFonts w:ascii="Lato" w:hAnsi="Lato" w:cs="Lato"/>
          <w:b/>
          <w:bCs/>
          <w:color w:val="194CE5"/>
          <w:sz w:val="32"/>
          <w:szCs w:val="32"/>
        </w:rPr>
        <w:t>WYDARZENIA TOWARZYSZĄCE</w:t>
      </w:r>
    </w:p>
    <w:p w:rsidR="00241C57" w:rsidRDefault="00241C57" w:rsidP="00241C57">
      <w:pPr>
        <w:pStyle w:val="BasicParagraph"/>
        <w:jc w:val="center"/>
        <w:rPr>
          <w:rFonts w:ascii="Lato" w:hAnsi="Lato" w:cs="Lato"/>
          <w:b/>
          <w:bCs/>
          <w:color w:val="194CE5"/>
          <w:sz w:val="32"/>
          <w:szCs w:val="3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  <w:gridCol w:w="5395"/>
      </w:tblGrid>
      <w:tr w:rsidR="0093798E" w:rsidTr="00764FB1">
        <w:trPr>
          <w:jc w:val="center"/>
        </w:trPr>
        <w:tc>
          <w:tcPr>
            <w:tcW w:w="5395" w:type="dxa"/>
            <w:vAlign w:val="center"/>
          </w:tcPr>
          <w:p w:rsidR="00241C57" w:rsidRDefault="0093798E" w:rsidP="00764FB1">
            <w:pPr>
              <w:pStyle w:val="BasicParagraph"/>
              <w:jc w:val="center"/>
              <w:rPr>
                <w:rFonts w:ascii="Lato" w:hAnsi="Lato" w:cs="Lato"/>
                <w:sz w:val="32"/>
                <w:szCs w:val="32"/>
                <w:lang w:val="pl-PL"/>
              </w:rPr>
            </w:pPr>
            <w:r>
              <w:rPr>
                <w:rFonts w:ascii="Lato" w:hAnsi="Lato" w:cs="Lato"/>
                <w:noProof/>
                <w:sz w:val="32"/>
                <w:szCs w:val="32"/>
                <w:lang w:val="pl-PL" w:eastAsia="pl-PL"/>
              </w:rPr>
              <w:drawing>
                <wp:inline distT="0" distB="0" distL="0" distR="0">
                  <wp:extent cx="2362200" cy="533026"/>
                  <wp:effectExtent l="0" t="0" r="0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port_expo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450" cy="576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vAlign w:val="center"/>
          </w:tcPr>
          <w:p w:rsidR="00241C57" w:rsidRDefault="0093798E" w:rsidP="00764FB1">
            <w:pPr>
              <w:pStyle w:val="BasicParagraph"/>
              <w:jc w:val="center"/>
              <w:rPr>
                <w:rFonts w:ascii="Lato" w:hAnsi="Lato" w:cs="Lato"/>
                <w:sz w:val="32"/>
                <w:szCs w:val="32"/>
                <w:lang w:val="pl-PL"/>
              </w:rPr>
            </w:pPr>
            <w:r>
              <w:rPr>
                <w:rFonts w:ascii="Lato" w:hAnsi="Lato" w:cs="Lato"/>
                <w:noProof/>
                <w:sz w:val="32"/>
                <w:szCs w:val="32"/>
                <w:lang w:val="pl-PL" w:eastAsia="pl-PL"/>
              </w:rPr>
              <w:drawing>
                <wp:inline distT="0" distB="0" distL="0" distR="0">
                  <wp:extent cx="2409825" cy="607811"/>
                  <wp:effectExtent l="0" t="0" r="0" b="190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ngres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029" cy="622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98E" w:rsidTr="00764FB1">
        <w:trPr>
          <w:jc w:val="center"/>
        </w:trPr>
        <w:tc>
          <w:tcPr>
            <w:tcW w:w="5395" w:type="dxa"/>
          </w:tcPr>
          <w:p w:rsidR="0093798E" w:rsidRDefault="0093798E" w:rsidP="0093798E">
            <w:pPr>
              <w:pStyle w:val="BasicParagraph"/>
              <w:jc w:val="center"/>
              <w:rPr>
                <w:rFonts w:ascii="Lato" w:hAnsi="Lato" w:cs="Lato"/>
              </w:rPr>
            </w:pPr>
          </w:p>
          <w:p w:rsidR="0093798E" w:rsidRPr="0093798E" w:rsidRDefault="0093798E" w:rsidP="0093798E">
            <w:pPr>
              <w:pStyle w:val="BasicParagraph"/>
              <w:jc w:val="center"/>
              <w:rPr>
                <w:rFonts w:ascii="Lato" w:hAnsi="Lato" w:cs="Lato"/>
              </w:rPr>
            </w:pPr>
            <w:r>
              <w:rPr>
                <w:rFonts w:ascii="Lato" w:hAnsi="Lato" w:cs="Lato"/>
              </w:rPr>
              <w:t>www.exportexpo.org</w:t>
            </w:r>
          </w:p>
        </w:tc>
        <w:tc>
          <w:tcPr>
            <w:tcW w:w="5395" w:type="dxa"/>
          </w:tcPr>
          <w:p w:rsidR="0093798E" w:rsidRDefault="0093798E" w:rsidP="0093798E">
            <w:pPr>
              <w:pStyle w:val="BasicParagraph"/>
              <w:jc w:val="center"/>
              <w:rPr>
                <w:rFonts w:ascii="Lato" w:hAnsi="Lato" w:cs="Lato"/>
              </w:rPr>
            </w:pPr>
          </w:p>
          <w:p w:rsidR="0093798E" w:rsidRPr="0093798E" w:rsidRDefault="0093798E" w:rsidP="0093798E">
            <w:pPr>
              <w:pStyle w:val="BasicParagraph"/>
              <w:jc w:val="center"/>
              <w:rPr>
                <w:rFonts w:ascii="Lato" w:hAnsi="Lato" w:cs="Lato"/>
              </w:rPr>
            </w:pPr>
            <w:r>
              <w:rPr>
                <w:rFonts w:ascii="Lato" w:hAnsi="Lato" w:cs="Lato"/>
              </w:rPr>
              <w:t>www.kongresgospodarczy.org</w:t>
            </w:r>
          </w:p>
        </w:tc>
      </w:tr>
    </w:tbl>
    <w:p w:rsidR="00F849BD" w:rsidRDefault="00F849BD"/>
    <w:sectPr w:rsidR="00F849BD" w:rsidSect="0093798E">
      <w:pgSz w:w="12240" w:h="15840"/>
      <w:pgMar w:top="567" w:right="720" w:bottom="567" w:left="720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1C57"/>
    <w:rsid w:val="00241C57"/>
    <w:rsid w:val="002E5735"/>
    <w:rsid w:val="003C2E46"/>
    <w:rsid w:val="00744604"/>
    <w:rsid w:val="00764FB1"/>
    <w:rsid w:val="007B4723"/>
    <w:rsid w:val="0093798E"/>
    <w:rsid w:val="00F84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241C5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241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</dc:creator>
  <cp:lastModifiedBy>TTG5</cp:lastModifiedBy>
  <cp:revision>2</cp:revision>
  <dcterms:created xsi:type="dcterms:W3CDTF">2019-05-06T16:01:00Z</dcterms:created>
  <dcterms:modified xsi:type="dcterms:W3CDTF">2019-05-06T16:01:00Z</dcterms:modified>
</cp:coreProperties>
</file>