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57" w:rsidRDefault="007B4723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40"/>
          <w:szCs w:val="40"/>
        </w:rPr>
      </w:pPr>
      <w:r>
        <w:rPr>
          <w:rFonts w:ascii="Lato" w:hAnsi="Lato" w:cs="Lato"/>
          <w:b/>
          <w:bCs/>
          <w:noProof/>
          <w:color w:val="194CE5"/>
          <w:sz w:val="40"/>
          <w:szCs w:val="40"/>
          <w:lang w:val="pl-PL" w:eastAsia="pl-PL"/>
        </w:rPr>
        <w:drawing>
          <wp:inline distT="0" distB="0" distL="0" distR="0">
            <wp:extent cx="2409825" cy="114798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P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039" cy="117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723" w:rsidRPr="00744604" w:rsidRDefault="007B4723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20"/>
          <w:szCs w:val="20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40"/>
          <w:szCs w:val="40"/>
        </w:rPr>
      </w:pPr>
      <w:r>
        <w:rPr>
          <w:rFonts w:ascii="Lato" w:hAnsi="Lato" w:cs="Lato"/>
          <w:b/>
          <w:bCs/>
          <w:color w:val="194CE5"/>
          <w:sz w:val="40"/>
          <w:szCs w:val="40"/>
        </w:rPr>
        <w:t>TARGI CHINA HOMELIFE POLAND</w:t>
      </w:r>
    </w:p>
    <w:p w:rsidR="00241C57" w:rsidRPr="00744604" w:rsidRDefault="00241C57" w:rsidP="00241C57">
      <w:pPr>
        <w:pStyle w:val="BasicParagraph"/>
        <w:jc w:val="both"/>
        <w:rPr>
          <w:rFonts w:ascii="Lato" w:hAnsi="Lato" w:cs="Lato"/>
          <w:b/>
          <w:bCs/>
          <w:sz w:val="20"/>
          <w:szCs w:val="20"/>
          <w:lang w:val="pl-PL"/>
        </w:rPr>
      </w:pPr>
      <w:bookmarkStart w:id="0" w:name="_GoBack"/>
      <w:bookmarkEnd w:id="0"/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b/>
          <w:bCs/>
          <w:lang w:val="pl-PL"/>
        </w:rPr>
        <w:t>China Homelife Poland</w:t>
      </w:r>
      <w:r>
        <w:rPr>
          <w:rFonts w:ascii="Lato" w:hAnsi="Lato" w:cs="Lato"/>
          <w:lang w:val="pl-PL"/>
        </w:rPr>
        <w:t xml:space="preserve"> to największe targi artykułów chińskich w Europie Środkowo-Wschodniej, które odbywają się w Polsce od siedmiu lat. Organizatorem targów jest firma Meorient, która od wielu lat zajmuje się rozwijaniem chińskiego biznesu na całym świecie.</w:t>
      </w: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Na targach China Homelife Poland co roku prezentuje się ponad 1500 starannie wyselekcjonowanych chińskich wystawców z takich branż jak: elektronika, materiały budowlane, meble, odzież i tekstylia, oświetlenie, wyposażenie domu i upominki.</w:t>
      </w: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Łącznie z China Homelife Poland odbywają się targi China Machinex nastawione na przemysł maszynowy. Wystawcy oferują podczas nich swoje najlepsze produkty z branż: elektryczność i nowa energia, maszyny, sprzęt i narzędzia.</w:t>
      </w: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Uczestnicy targów mają do dyspozycji specjalną strefę matchmakingu – a w niej zapewnioną pomoc tłumacza, tak by komunikacja z chińskimi dostawcami była jak najprostsza. Spotkanie z idealnie dobranym wystawcą można zaaranżować już przed targami. Dla największych importerów działa również program HostedBuyer, który daje wiele ekskluzywnych korzyści. Biznes to jednak nie wszystko – podczas targów co roku mają miejsce również ciekawe wydarzenia kulturalne.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sz w:val="28"/>
          <w:szCs w:val="28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sz w:val="28"/>
          <w:szCs w:val="28"/>
          <w:lang w:val="pl-PL"/>
        </w:rPr>
      </w:pPr>
      <w:r>
        <w:rPr>
          <w:rFonts w:ascii="Lato" w:hAnsi="Lato" w:cs="Lato"/>
          <w:b/>
          <w:bCs/>
          <w:sz w:val="28"/>
          <w:szCs w:val="28"/>
          <w:lang w:val="pl-PL"/>
        </w:rPr>
        <w:t>Więcej informacji o targach na stronie www.chinahomelife247.eu</w:t>
      </w:r>
    </w:p>
    <w:p w:rsidR="00241C57" w:rsidRDefault="00241C57" w:rsidP="00241C57">
      <w:pPr>
        <w:pStyle w:val="BasicParagraph"/>
        <w:jc w:val="both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Osobą odpowiedzialną za współpracę jest p. Katarzyna Kaczmarska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lang w:val="pl-PL"/>
        </w:rPr>
      </w:pPr>
      <w:r>
        <w:rPr>
          <w:rFonts w:ascii="Lato" w:hAnsi="Lato" w:cs="Lato"/>
          <w:lang w:val="pl-PL"/>
        </w:rPr>
        <w:t>e-mail: biuro@wig.waw.pl, tel. +48 22 225 01 11</w:t>
      </w:r>
    </w:p>
    <w:p w:rsidR="00241C57" w:rsidRPr="0093798E" w:rsidRDefault="00241C57" w:rsidP="00241C57">
      <w:pPr>
        <w:pStyle w:val="BasicParagraph"/>
        <w:jc w:val="center"/>
        <w:rPr>
          <w:rFonts w:ascii="Lato" w:hAnsi="Lato" w:cs="Lato"/>
          <w:sz w:val="20"/>
          <w:szCs w:val="20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lang w:val="pl-PL"/>
        </w:rPr>
      </w:pP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  <w:r w:rsidRPr="00241C57">
        <w:rPr>
          <w:rFonts w:ascii="Lato" w:hAnsi="Lato" w:cs="Lato"/>
          <w:b/>
          <w:bCs/>
          <w:color w:val="194CE5"/>
          <w:sz w:val="32"/>
          <w:szCs w:val="32"/>
        </w:rPr>
        <w:t>WYDARZENIA TOWARZYSZĄCE</w:t>
      </w:r>
    </w:p>
    <w:p w:rsidR="00241C57" w:rsidRDefault="00241C57" w:rsidP="00241C57">
      <w:pPr>
        <w:pStyle w:val="BasicParagraph"/>
        <w:jc w:val="center"/>
        <w:rPr>
          <w:rFonts w:ascii="Lato" w:hAnsi="Lato" w:cs="Lato"/>
          <w:b/>
          <w:bCs/>
          <w:color w:val="194CE5"/>
          <w:sz w:val="32"/>
          <w:szCs w:val="3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95"/>
        <w:gridCol w:w="5395"/>
      </w:tblGrid>
      <w:tr w:rsidR="0093798E" w:rsidTr="00764FB1">
        <w:trPr>
          <w:jc w:val="center"/>
        </w:trPr>
        <w:tc>
          <w:tcPr>
            <w:tcW w:w="5395" w:type="dxa"/>
            <w:vAlign w:val="center"/>
          </w:tcPr>
          <w:p w:rsidR="00241C57" w:rsidRDefault="0093798E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2362200" cy="533026"/>
                  <wp:effectExtent l="0" t="0" r="0" b="63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port_expo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450" cy="57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  <w:vAlign w:val="center"/>
          </w:tcPr>
          <w:p w:rsidR="00241C57" w:rsidRDefault="0093798E" w:rsidP="00764FB1">
            <w:pPr>
              <w:pStyle w:val="BasicParagraph"/>
              <w:jc w:val="center"/>
              <w:rPr>
                <w:rFonts w:ascii="Lato" w:hAnsi="Lato" w:cs="Lato"/>
                <w:sz w:val="32"/>
                <w:szCs w:val="32"/>
                <w:lang w:val="pl-PL"/>
              </w:rPr>
            </w:pPr>
            <w:r>
              <w:rPr>
                <w:rFonts w:ascii="Lato" w:hAnsi="Lato" w:cs="Lato"/>
                <w:noProof/>
                <w:sz w:val="32"/>
                <w:szCs w:val="32"/>
                <w:lang w:val="pl-PL" w:eastAsia="pl-PL"/>
              </w:rPr>
              <w:drawing>
                <wp:inline distT="0" distB="0" distL="0" distR="0">
                  <wp:extent cx="2409825" cy="607811"/>
                  <wp:effectExtent l="0" t="0" r="0" b="190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ongres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029" cy="62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798E" w:rsidTr="00764FB1">
        <w:trPr>
          <w:jc w:val="center"/>
        </w:trPr>
        <w:tc>
          <w:tcPr>
            <w:tcW w:w="5395" w:type="dxa"/>
          </w:tcPr>
          <w:p w:rsid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</w:p>
          <w:p w:rsidR="0093798E" w:rsidRP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www.exportexpo.org</w:t>
            </w:r>
          </w:p>
        </w:tc>
        <w:tc>
          <w:tcPr>
            <w:tcW w:w="5395" w:type="dxa"/>
          </w:tcPr>
          <w:p w:rsid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</w:p>
          <w:p w:rsidR="0093798E" w:rsidRPr="0093798E" w:rsidRDefault="0093798E" w:rsidP="0093798E">
            <w:pPr>
              <w:pStyle w:val="BasicParagraph"/>
              <w:jc w:val="center"/>
              <w:rPr>
                <w:rFonts w:ascii="Lato" w:hAnsi="Lato" w:cs="Lato"/>
              </w:rPr>
            </w:pPr>
            <w:r>
              <w:rPr>
                <w:rFonts w:ascii="Lato" w:hAnsi="Lato" w:cs="Lato"/>
              </w:rPr>
              <w:t>www.kongresgospodarczy.org</w:t>
            </w:r>
          </w:p>
        </w:tc>
      </w:tr>
    </w:tbl>
    <w:p w:rsidR="00F849BD" w:rsidRDefault="00F849BD"/>
    <w:sectPr w:rsidR="00F849BD" w:rsidSect="0093798E">
      <w:pgSz w:w="12240" w:h="15840"/>
      <w:pgMar w:top="567" w:right="720" w:bottom="567" w:left="720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41C57"/>
    <w:rsid w:val="00241C57"/>
    <w:rsid w:val="002E5735"/>
    <w:rsid w:val="003C2E46"/>
    <w:rsid w:val="00744604"/>
    <w:rsid w:val="00764FB1"/>
    <w:rsid w:val="007B4723"/>
    <w:rsid w:val="0093798E"/>
    <w:rsid w:val="00F8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241C5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41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</dc:creator>
  <cp:lastModifiedBy>TTG5</cp:lastModifiedBy>
  <cp:revision>2</cp:revision>
  <dcterms:created xsi:type="dcterms:W3CDTF">2019-05-06T16:01:00Z</dcterms:created>
  <dcterms:modified xsi:type="dcterms:W3CDTF">2019-05-06T16:01:00Z</dcterms:modified>
</cp:coreProperties>
</file>